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A76017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006739">
        <w:rPr>
          <w:b/>
        </w:rPr>
        <w:t>UFFICIO III - Affari Internazionali, comunicazione, digitalizzazione e statistica- del Segretariato generale</w:t>
      </w:r>
    </w:p>
    <w:p w:rsidR="00006739" w:rsidRPr="00BF73A1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006739">
        <w:rPr>
          <w:b/>
        </w:rPr>
        <w:t>B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A76017">
        <w:rPr>
          <w:b/>
        </w:rPr>
        <w:t>2</w:t>
      </w:r>
      <w:r w:rsidR="008A57C7">
        <w:rPr>
          <w:b/>
        </w:rPr>
        <w:t xml:space="preserve">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006739" w:rsidRPr="00CB6FCE" w:rsidRDefault="00006739" w:rsidP="00006739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Coordinamento, in   raccordo   con   gli   Uffici   di   diretta collaborazione, delle attività di internazionalizzazione della formazione superiore e della ricerca.;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Coordinamento, in raccordo con gli Uffici di diretta collaborazione del Ministro e la Direzione generale competente per materia, dei rapporti del Ministero con soggetti pubblici e privati di livello sovranazionale ed internazionale;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Coordinamento, in raccordo con gli Uffici di diretta collaborazione del Ministro e la Direzione generale competente in materia, delle attività di promozione di eventi, manifestazione e comunicazione ed informazione istituzionale;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Esame, in raccordo con gli Uffici di diretta collaborazione, dei protocolli di intesa, delle convenzioni e degli accordi, nonché verifica della relativa attuazione;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Supporto all’attività di studio, ricerca ed indagine in raccordo con la Direzione generale competente in materia di statistica;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Coordinamento nella definizione, in raccordo con la Direzione generale competente, delle linee strategiche in materia di digitalizzazione del Ministero;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Coordinamento delle istruttorie e dei pareri in merito alle richieste di patrocinio, in raccordo con le Direzioni generali;</w:t>
      </w:r>
    </w:p>
    <w:p w:rsidR="00006739" w:rsidRPr="00CB6FCE" w:rsidRDefault="00006739" w:rsidP="00006739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 w:rsidRPr="00CB6FCE">
        <w:rPr>
          <w:sz w:val="22"/>
          <w:szCs w:val="22"/>
        </w:rPr>
        <w:t>Cura, in raccordo con gli Uffici di diretta collaborazione, le relazioni istituzionali, con la Conferenza dei Rettori delle università italiane (CRUI), con le conferenze dei Presidenti e Direttori delle Istituzioni AFAM, con l'Agenzia nazionale di valutazione del sistema universitario e della ricerca (ANVUR), con particolare riferimento al programma annuale di attività di cui all'art. 2, comma 2, del decreto del Presidente della Repubblica 1° febbraio 2010, n. 76, con l'Agenzia nazionale per la ricerca (ANR), con l'Agenzia per l'Italia digitale (AGID) e con le altre autorità, agenzie, organismi o enti pubblici che operano nei settori di competenza del Ministero.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bookmarkStart w:id="0" w:name="_GoBack"/>
      <w:bookmarkEnd w:id="0"/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CF" w:rsidRDefault="009113CF" w:rsidP="00B56C58">
      <w:r>
        <w:separator/>
      </w:r>
    </w:p>
  </w:endnote>
  <w:endnote w:type="continuationSeparator" w:id="0">
    <w:p w:rsidR="009113CF" w:rsidRDefault="009113CF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CF" w:rsidRDefault="009113CF" w:rsidP="00B56C58">
      <w:r>
        <w:separator/>
      </w:r>
    </w:p>
  </w:footnote>
  <w:footnote w:type="continuationSeparator" w:id="0">
    <w:p w:rsidR="009113CF" w:rsidRDefault="009113CF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17" w:rsidRPr="00DC4C05" w:rsidRDefault="00A76017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78582ABB" wp14:editId="52C5D0FD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6017" w:rsidRPr="00DC4C05" w:rsidRDefault="00A76017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:rsidR="00A76017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  <w:r w:rsidRPr="00DC4C05">
      <w:rPr>
        <w:rFonts w:ascii="Palatino Linotype" w:hAnsi="Palatino Linotype" w:cs="Tahoma"/>
        <w:i/>
        <w:iCs/>
      </w:rPr>
      <w:t xml:space="preserve">SEGRETARIATO GENERALE </w:t>
    </w:r>
  </w:p>
  <w:p w:rsidR="00A76017" w:rsidRPr="00DC4C05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5F46"/>
    <w:multiLevelType w:val="hybridMultilevel"/>
    <w:tmpl w:val="8CEA9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06739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00D1C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113CF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76017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0C0D0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2130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Depino Francesca</cp:lastModifiedBy>
  <cp:revision>3</cp:revision>
  <cp:lastPrinted>2020-11-18T14:51:00Z</cp:lastPrinted>
  <dcterms:created xsi:type="dcterms:W3CDTF">2024-10-17T10:34:00Z</dcterms:created>
  <dcterms:modified xsi:type="dcterms:W3CDTF">2024-10-17T10:48:00Z</dcterms:modified>
</cp:coreProperties>
</file>