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4640BB" w:rsidRPr="00BF73A1" w:rsidRDefault="00F275E2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BF73A1">
        <w:rPr>
          <w:b/>
        </w:rPr>
        <w:t xml:space="preserve">UFFICIO </w:t>
      </w:r>
      <w:r w:rsidR="00183E4F" w:rsidRPr="00BF73A1">
        <w:rPr>
          <w:b/>
        </w:rPr>
        <w:t xml:space="preserve">I </w:t>
      </w:r>
      <w:r w:rsidR="004C57FF">
        <w:rPr>
          <w:b/>
        </w:rPr>
        <w:t>–</w:t>
      </w:r>
      <w:r w:rsidR="00183E4F" w:rsidRPr="00BF73A1">
        <w:rPr>
          <w:b/>
        </w:rPr>
        <w:t xml:space="preserve"> </w:t>
      </w:r>
      <w:r w:rsidR="00B402A5" w:rsidRPr="00307256">
        <w:rPr>
          <w:b/>
          <w:bCs/>
          <w:i/>
        </w:rPr>
        <w:t>Affari generali e coordinamento</w:t>
      </w:r>
      <w:r w:rsidR="00B402A5">
        <w:rPr>
          <w:b/>
          <w:bCs/>
        </w:rPr>
        <w:t xml:space="preserve"> della Direzione generale de</w:t>
      </w:r>
      <w:r w:rsidR="00307256">
        <w:rPr>
          <w:b/>
          <w:bCs/>
        </w:rPr>
        <w:t>ll’internazionalizzazione e della comunicazione</w:t>
      </w:r>
      <w:r w:rsidR="00B402A5">
        <w:rPr>
          <w:b/>
          <w:bCs/>
        </w:rPr>
        <w:t>.</w:t>
      </w: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307256">
        <w:rPr>
          <w:b/>
        </w:rPr>
        <w:t>B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</w:t>
      </w:r>
      <w:r w:rsidR="00307256">
        <w:rPr>
          <w:b/>
        </w:rPr>
        <w:t>6</w:t>
      </w:r>
      <w:r w:rsidR="008A57C7">
        <w:rPr>
          <w:b/>
        </w:rPr>
        <w:t xml:space="preserve">)  </w:t>
      </w:r>
    </w:p>
    <w:p w:rsidR="00FB437F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D.M. 19 febbraio 2021 </w:t>
      </w:r>
      <w:r w:rsidR="00710C6C">
        <w:rPr>
          <w:b/>
        </w:rPr>
        <w:t xml:space="preserve">n. 224 </w:t>
      </w:r>
      <w:r>
        <w:rPr>
          <w:b/>
        </w:rPr>
        <w:t>(Allegato 2)</w:t>
      </w:r>
    </w:p>
    <w:p w:rsidR="00307256" w:rsidRPr="00BF73A1" w:rsidRDefault="00307256" w:rsidP="008A57C7">
      <w:pPr>
        <w:spacing w:line="276" w:lineRule="auto"/>
        <w:ind w:left="2832" w:right="566" w:hanging="708"/>
        <w:contextualSpacing/>
        <w:jc w:val="both"/>
        <w:rPr>
          <w:b/>
        </w:rPr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Coordinamento delle attività e dei progetti trasversali di competenza della Direzione, anche in relazione alle attività svolte su impulso degli Uffici di diretta collaborazione del Ministro e del Segretariato generale.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Pr="00914FF2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Coordinamento delle attività trasversali relative alla programmazione e gestione delle risorse finanziarie e del personale della Direzione generale, ivi inclusa la formazione</w:t>
      </w:r>
      <w:r w:rsidRPr="00914FF2">
        <w:t>, in raccordo con gli altri uffici</w:t>
      </w:r>
      <w:r w:rsidR="00914FF2" w:rsidRPr="00914FF2">
        <w:t xml:space="preserve"> e</w:t>
      </w:r>
      <w:r w:rsidR="00A54DA0" w:rsidRPr="00914FF2">
        <w:t xml:space="preserve"> </w:t>
      </w:r>
      <w:r w:rsidRPr="00914FF2">
        <w:t>con la Direzione generale del personale, del bilancio e dei servizi strumentali.</w:t>
      </w:r>
    </w:p>
    <w:p w:rsidR="00307256" w:rsidRDefault="00307256" w:rsidP="00307256">
      <w:pPr>
        <w:spacing w:line="276" w:lineRule="auto"/>
        <w:ind w:right="566"/>
        <w:jc w:val="both"/>
      </w:pPr>
      <w:bookmarkStart w:id="0" w:name="_GoBack"/>
      <w:bookmarkEnd w:id="0"/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 xml:space="preserve">Coordinamento degli adempimenti relativi al ciclo della </w:t>
      </w:r>
      <w:r w:rsidRPr="00914FF2">
        <w:rPr>
          <w:i/>
        </w:rPr>
        <w:t>performance</w:t>
      </w:r>
      <w:r>
        <w:t>, prevenzione della corruzione e trasparenza nelle materie di competenza della Direzione.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Supporto all' attività di coordinamento normativo nelle materie di competenza della Direzione.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Coordinamento degli affari legali degli uffici della Direzione generale e conseguenti rapporti con l'Avvocatura dello Stato nelle materie di competenza della Direzione.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Predisposizione degli atti finalizzati alla liquidazione delle spese legali da parte della Direzione generale del personale, del bilancio e dei servizi strumentali.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Istruttoria e pareri in merito alle richieste di patrocinio per le materie di competenza della Direzione generale.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Monitoraggio della normativa europea in materia di formazione superiore, ricerca e comunicazione, curandone la divulgazione agli uffici delle Direzioni generali competenti per materia.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Cura delle attività legate all'individuazione degli esperti e degli addetti scientifici presso le rappresentanze diplomatiche italiane all'estero</w:t>
      </w:r>
      <w:r w:rsidR="00A54DA0">
        <w:t>,</w:t>
      </w:r>
      <w:r>
        <w:t xml:space="preserve"> in collaborazione con il Ministero degli affari esteri e della cooperazione internazionale, e supporto alle attività istituzionali degli esperti con incarico di addetto scientifico</w:t>
      </w:r>
      <w:r w:rsidR="00A54DA0">
        <w:t>,</w:t>
      </w:r>
      <w:r>
        <w:t xml:space="preserve"> e di addetto spaziale.</w:t>
      </w:r>
    </w:p>
    <w:p w:rsidR="00307256" w:rsidRDefault="00307256" w:rsidP="00307256">
      <w:pPr>
        <w:spacing w:line="276" w:lineRule="auto"/>
        <w:ind w:right="566"/>
        <w:jc w:val="both"/>
      </w:pPr>
    </w:p>
    <w:p w:rsidR="00307256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Promozione internazionale della lingua italiana e della sua certificazione, con riferimento ai settori di competenza del Ministero</w:t>
      </w:r>
      <w:r w:rsidR="00A54DA0">
        <w:t>,</w:t>
      </w:r>
      <w:r>
        <w:t xml:space="preserve"> e rapporti con gli enti </w:t>
      </w:r>
      <w:proofErr w:type="spellStart"/>
      <w:proofErr w:type="gramStart"/>
      <w:r>
        <w:t>certificatori</w:t>
      </w:r>
      <w:r w:rsidR="00A54DA0">
        <w:t>,</w:t>
      </w:r>
      <w:r>
        <w:t>in</w:t>
      </w:r>
      <w:proofErr w:type="spellEnd"/>
      <w:proofErr w:type="gramEnd"/>
      <w:r>
        <w:t xml:space="preserve"> raccordo con i competenti uffici del Ministero degli affari esteri e della cooperazione internazionale.</w:t>
      </w:r>
    </w:p>
    <w:p w:rsidR="00307256" w:rsidRDefault="00307256" w:rsidP="00307256">
      <w:pPr>
        <w:spacing w:line="276" w:lineRule="auto"/>
        <w:ind w:right="566"/>
        <w:jc w:val="both"/>
      </w:pPr>
    </w:p>
    <w:p w:rsidR="00B402A5" w:rsidRDefault="00307256" w:rsidP="00307256">
      <w:pPr>
        <w:pStyle w:val="Paragrafoelenco"/>
        <w:numPr>
          <w:ilvl w:val="0"/>
          <w:numId w:val="11"/>
        </w:numPr>
        <w:spacing w:line="276" w:lineRule="auto"/>
        <w:ind w:right="566"/>
        <w:jc w:val="both"/>
      </w:pPr>
      <w:r>
        <w:t>Cura delle relazioni istituzionali con le Amministrazioni centrali e regionali,</w:t>
      </w:r>
      <w:r w:rsidR="00A54DA0">
        <w:t xml:space="preserve"> e</w:t>
      </w:r>
      <w:r>
        <w:t xml:space="preserve"> con gli organismi pubblici e privati, in particolare con quelli operanti in materia di istruzione superiore e ricerca.</w:t>
      </w:r>
    </w:p>
    <w:sectPr w:rsidR="00B402A5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DE8" w:rsidRDefault="00321DE8" w:rsidP="00B56C58">
      <w:r>
        <w:separator/>
      </w:r>
    </w:p>
  </w:endnote>
  <w:endnote w:type="continuationSeparator" w:id="0">
    <w:p w:rsidR="00321DE8" w:rsidRDefault="00321DE8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DE8" w:rsidRDefault="00321DE8" w:rsidP="00B56C58">
      <w:r>
        <w:separator/>
      </w:r>
    </w:p>
  </w:footnote>
  <w:footnote w:type="continuationSeparator" w:id="0">
    <w:p w:rsidR="00321DE8" w:rsidRDefault="00321DE8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256" w:rsidRPr="00DC4C05" w:rsidRDefault="00307256" w:rsidP="00DC4C05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 w:rsidRPr="00DC4C05">
      <w:rPr>
        <w:rFonts w:ascii="Tahoma" w:hAnsi="Tahoma" w:cs="Tahoma"/>
        <w:i/>
        <w:iCs/>
        <w:noProof/>
      </w:rPr>
      <w:drawing>
        <wp:inline distT="0" distB="0" distL="0" distR="0" wp14:anchorId="78582ABB" wp14:editId="52C5D0FD">
          <wp:extent cx="545123" cy="5715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6" cy="571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7256" w:rsidRPr="00DC4C05" w:rsidRDefault="00307256" w:rsidP="00DC4C05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</w:r>
    <w:r w:rsidRPr="00DC4C05">
      <w:rPr>
        <w:rFonts w:ascii="Kunstler Script" w:hAnsi="Kunstler Script"/>
        <w:bCs/>
        <w:color w:val="000000"/>
        <w:sz w:val="72"/>
        <w:szCs w:val="72"/>
      </w:rPr>
      <w:t xml:space="preserve">   Ministero dell’Università e della Ricerca</w:t>
    </w:r>
  </w:p>
  <w:p w:rsidR="00307256" w:rsidRPr="00DC4C05" w:rsidRDefault="00307256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  <w:r w:rsidRPr="00DC4C05">
      <w:rPr>
        <w:rFonts w:ascii="Palatino Linotype" w:hAnsi="Palatino Linotype" w:cs="Tahoma"/>
        <w:i/>
        <w:iCs/>
      </w:rPr>
      <w:t xml:space="preserve">SEGRETARIATO GENERALE </w:t>
    </w:r>
  </w:p>
  <w:p w:rsidR="00307256" w:rsidRPr="00DC4C05" w:rsidRDefault="00307256" w:rsidP="00DC4C05">
    <w:pPr>
      <w:tabs>
        <w:tab w:val="center" w:pos="4819"/>
        <w:tab w:val="right" w:pos="9638"/>
      </w:tabs>
      <w:jc w:val="center"/>
      <w:rPr>
        <w:i/>
        <w:iCs/>
      </w:rPr>
    </w:pPr>
    <w:r w:rsidRPr="00DC4C05">
      <w:rPr>
        <w:i/>
        <w:iCs/>
      </w:rPr>
      <w:t xml:space="preserve">Direzione generale </w:t>
    </w:r>
    <w:r>
      <w:rPr>
        <w:i/>
        <w:iCs/>
      </w:rPr>
      <w:t>dell’internazionalizzazione e della comunicazione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B535A4D"/>
    <w:multiLevelType w:val="hybridMultilevel"/>
    <w:tmpl w:val="FE8E49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8E4DB2"/>
    <w:multiLevelType w:val="hybridMultilevel"/>
    <w:tmpl w:val="ED22C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D7030"/>
    <w:multiLevelType w:val="hybridMultilevel"/>
    <w:tmpl w:val="C2EEA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trackRevision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07256"/>
    <w:rsid w:val="00316BB4"/>
    <w:rsid w:val="00321DE8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8F6B5F"/>
    <w:rsid w:val="00903D9A"/>
    <w:rsid w:val="00914FF2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54DA0"/>
    <w:rsid w:val="00A952B4"/>
    <w:rsid w:val="00AE5B72"/>
    <w:rsid w:val="00B12125"/>
    <w:rsid w:val="00B25163"/>
    <w:rsid w:val="00B2550E"/>
    <w:rsid w:val="00B3035C"/>
    <w:rsid w:val="00B402A5"/>
    <w:rsid w:val="00B429F1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04058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308B"/>
    <w:rsid w:val="00CD5B7C"/>
    <w:rsid w:val="00CF0EB7"/>
    <w:rsid w:val="00D0706B"/>
    <w:rsid w:val="00D153BE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76FE4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78A3D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2174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2495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Pittalis Maria Lucia</cp:lastModifiedBy>
  <cp:revision>2</cp:revision>
  <cp:lastPrinted>2020-11-18T14:51:00Z</cp:lastPrinted>
  <dcterms:created xsi:type="dcterms:W3CDTF">2024-10-18T09:03:00Z</dcterms:created>
  <dcterms:modified xsi:type="dcterms:W3CDTF">2024-10-18T09:03:00Z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8f65ed2e9885920bbbf0bf8bca88ba121b9dd97f159c3a26457ba7896ba38502</vt:lpwstr>
  </property>
</Properties>
</file>