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F275E2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BF73A1">
        <w:rPr>
          <w:b/>
        </w:rPr>
        <w:t xml:space="preserve">UFFICIO </w:t>
      </w:r>
      <w:r w:rsidR="00183E4F" w:rsidRPr="00BF73A1">
        <w:rPr>
          <w:b/>
        </w:rPr>
        <w:t>I</w:t>
      </w:r>
      <w:r w:rsidR="00CB5F3F">
        <w:rPr>
          <w:b/>
        </w:rPr>
        <w:t xml:space="preserve">I </w:t>
      </w:r>
      <w:r w:rsidR="004C57FF">
        <w:rPr>
          <w:b/>
        </w:rPr>
        <w:t>–</w:t>
      </w:r>
      <w:r w:rsidR="00183E4F" w:rsidRPr="00BF73A1">
        <w:rPr>
          <w:b/>
        </w:rPr>
        <w:t xml:space="preserve"> </w:t>
      </w:r>
      <w:r w:rsidR="00CB5F3F" w:rsidRPr="00CB5F3F">
        <w:rPr>
          <w:b/>
          <w:bCs/>
        </w:rPr>
        <w:t>Studenti e interventi per il diritto allo studio</w:t>
      </w:r>
      <w:r w:rsidR="003D0334">
        <w:rPr>
          <w:b/>
          <w:bCs/>
        </w:rPr>
        <w:t>.</w:t>
      </w:r>
      <w:bookmarkStart w:id="0" w:name="_GoBack"/>
      <w:bookmarkEnd w:id="0"/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B402A5">
        <w:rPr>
          <w:b/>
        </w:rPr>
        <w:t>A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</w:t>
      </w:r>
      <w:r w:rsidR="00B402A5">
        <w:rPr>
          <w:b/>
        </w:rPr>
        <w:t>4</w:t>
      </w:r>
      <w:r w:rsidR="008A57C7">
        <w:rPr>
          <w:b/>
        </w:rPr>
        <w:t xml:space="preserve">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B402A5" w:rsidRDefault="00B402A5" w:rsidP="00B402A5">
      <w:pPr>
        <w:spacing w:line="276" w:lineRule="auto"/>
        <w:ind w:right="566"/>
        <w:jc w:val="both"/>
      </w:pPr>
    </w:p>
    <w:p w:rsidR="00CB5F3F" w:rsidRDefault="00CB5F3F" w:rsidP="00CB5F3F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Coordinamento e attuazione della normativa sul diritto allo studio per quanto di competenza statale, monitoraggio dei livelli essenziali delle prestazioni e riparto del Fondo integrativo statale.</w:t>
      </w:r>
    </w:p>
    <w:p w:rsidR="00CB5F3F" w:rsidRDefault="00CB5F3F" w:rsidP="00CB5F3F">
      <w:pPr>
        <w:spacing w:line="276" w:lineRule="auto"/>
        <w:ind w:left="567" w:right="566"/>
        <w:contextualSpacing/>
        <w:jc w:val="both"/>
      </w:pPr>
    </w:p>
    <w:p w:rsidR="00CB5F3F" w:rsidRDefault="00CB5F3F" w:rsidP="00CB5F3F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Valorizzazione del merito degli studenti nelle università e nelle istituzioni AFAM; iniziative ministeriali in tema di interventi a favore degli studenti. Politiche di sostegno per studenti diversamente abili.</w:t>
      </w:r>
    </w:p>
    <w:p w:rsidR="00CB5F3F" w:rsidRDefault="00CB5F3F" w:rsidP="00CB5F3F">
      <w:pPr>
        <w:spacing w:line="276" w:lineRule="auto"/>
        <w:ind w:left="567" w:right="566"/>
        <w:contextualSpacing/>
        <w:jc w:val="both"/>
      </w:pPr>
    </w:p>
    <w:p w:rsidR="00CB5F3F" w:rsidRDefault="00CB5F3F" w:rsidP="00CB5F3F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Supporto all'Osservatorio nazionale per il diritto allo studio di cui al decreto legislativo 29 marzo 2012, n. 68.</w:t>
      </w:r>
    </w:p>
    <w:p w:rsidR="00CB5F3F" w:rsidRDefault="00CB5F3F" w:rsidP="00CB5F3F">
      <w:pPr>
        <w:spacing w:line="276" w:lineRule="auto"/>
        <w:ind w:left="567" w:right="566"/>
        <w:contextualSpacing/>
        <w:jc w:val="both"/>
      </w:pPr>
    </w:p>
    <w:p w:rsidR="00CB5F3F" w:rsidRDefault="00CB5F3F" w:rsidP="00CB5F3F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Riconoscimento e accreditamento dei collegi universitari di merito; definizione dei criteri per la ripartizione del contributo di funzionamento ai collegi di merito accreditati e relativa erogazione; nomina dei rappresentanti in seno agli organi istituzionali dei Collegi universitari di merito; rapporti con la Conferenza dei collegi universitari di merito, residenze universitarie per quanto di competenza statale.</w:t>
      </w:r>
    </w:p>
    <w:p w:rsidR="00CB5F3F" w:rsidRDefault="00CB5F3F" w:rsidP="00CB5F3F">
      <w:pPr>
        <w:spacing w:line="276" w:lineRule="auto"/>
        <w:ind w:left="567" w:right="566"/>
        <w:contextualSpacing/>
        <w:jc w:val="both"/>
      </w:pPr>
    </w:p>
    <w:p w:rsidR="00CB5F3F" w:rsidRDefault="00CB5F3F" w:rsidP="00CB5F3F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 xml:space="preserve">Interventi dello Stato per alloggi e residenze per studenti universitari in relazione al cofinanziamento statale per la realizzazione di servizi abitativi a favore degli studenti della formazione superiore, e supporto alla Commissione ministeriale paritetica «alloggi e residenze per studenti universitari» tra MUR e Regioni di cui alla legge 23 dicembre 2000, n. 338.  </w:t>
      </w:r>
    </w:p>
    <w:p w:rsidR="00CB5F3F" w:rsidRDefault="00CB5F3F" w:rsidP="00CB5F3F">
      <w:pPr>
        <w:spacing w:line="276" w:lineRule="auto"/>
        <w:ind w:left="567" w:right="566"/>
        <w:contextualSpacing/>
        <w:jc w:val="both"/>
      </w:pPr>
    </w:p>
    <w:p w:rsidR="004640BB" w:rsidRPr="00CB5F3F" w:rsidRDefault="00CB5F3F" w:rsidP="00CB5F3F">
      <w:pPr>
        <w:pStyle w:val="Paragrafoelenco"/>
        <w:numPr>
          <w:ilvl w:val="0"/>
          <w:numId w:val="11"/>
        </w:numPr>
        <w:spacing w:line="276" w:lineRule="auto"/>
        <w:ind w:right="566"/>
        <w:jc w:val="both"/>
        <w:rPr>
          <w:b/>
        </w:rPr>
      </w:pPr>
      <w:r>
        <w:t>Indirizzi e strategie in materia di rapporti delle università con lo sport. Promozione e sostegno delle attività dei Comitati universitari per lo sport di cui alla legge n. 28 giugno 1977, n. 394</w:t>
      </w: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0" w:rsidRDefault="00F22B20" w:rsidP="00B56C58">
      <w:r>
        <w:separator/>
      </w:r>
    </w:p>
  </w:endnote>
  <w:endnote w:type="continuationSeparator" w:id="0">
    <w:p w:rsidR="00F22B20" w:rsidRDefault="00F22B20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0" w:rsidRDefault="00F22B20" w:rsidP="00B56C58">
      <w:r>
        <w:separator/>
      </w:r>
    </w:p>
  </w:footnote>
  <w:footnote w:type="continuationSeparator" w:id="0">
    <w:p w:rsidR="00F22B20" w:rsidRDefault="00F22B20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3809E3" w:rsidRDefault="009C57A1" w:rsidP="009C57A1">
    <w:pPr>
      <w:pStyle w:val="Intestazione"/>
      <w:jc w:val="center"/>
      <w:rPr>
        <w:rFonts w:ascii="Kunstler Script" w:hAnsi="Kunstler Script" w:cs="Tahoma"/>
        <w:i/>
        <w:iCs/>
        <w:sz w:val="88"/>
        <w:szCs w:val="88"/>
      </w:rPr>
    </w:pPr>
    <w:r w:rsidRPr="003809E3">
      <w:rPr>
        <w:rFonts w:ascii="Kunstler Script" w:hAnsi="Kunstler Script" w:cs="Tahoma"/>
        <w:i/>
        <w:iCs/>
        <w:sz w:val="88"/>
        <w:szCs w:val="88"/>
      </w:rPr>
      <w:t>Ministero dell’università e della ricerca</w:t>
    </w:r>
  </w:p>
  <w:p w:rsidR="00B402A5" w:rsidRPr="00494D86" w:rsidRDefault="00B402A5" w:rsidP="00B402A5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/>
        <w:iCs/>
      </w:rPr>
    </w:pPr>
    <w:r w:rsidRPr="00494D86">
      <w:rPr>
        <w:rFonts w:ascii="Palatino Linotype" w:hAnsi="Palatino Linotype" w:cs="Tahoma"/>
        <w:i/>
        <w:iCs/>
      </w:rPr>
      <w:t xml:space="preserve">SEGRETARIATO GENERALE </w:t>
    </w:r>
  </w:p>
  <w:p w:rsidR="00B402A5" w:rsidRPr="0001442B" w:rsidRDefault="00B402A5" w:rsidP="00B402A5">
    <w:pPr>
      <w:jc w:val="center"/>
      <w:rPr>
        <w:i/>
        <w:iCs/>
      </w:rPr>
    </w:pPr>
    <w:r w:rsidRPr="0001442B">
      <w:rPr>
        <w:i/>
        <w:iCs/>
      </w:rPr>
      <w:t>Direzione Generale degli ordinamenti della formazione superiore.</w:t>
    </w:r>
  </w:p>
  <w:p w:rsidR="00B56C58" w:rsidRPr="00495799" w:rsidRDefault="00B56C58" w:rsidP="009C57A1">
    <w:pPr>
      <w:pStyle w:val="Titolo1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A5" w:rsidRDefault="00B40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A8B0424"/>
    <w:multiLevelType w:val="hybridMultilevel"/>
    <w:tmpl w:val="FD94D0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535A4D"/>
    <w:multiLevelType w:val="hybridMultilevel"/>
    <w:tmpl w:val="FE8E49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8E4DB2"/>
    <w:multiLevelType w:val="hybridMultilevel"/>
    <w:tmpl w:val="ED22C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D0334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402A5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B5F3F"/>
    <w:rsid w:val="00CC04ED"/>
    <w:rsid w:val="00CD050B"/>
    <w:rsid w:val="00CD308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2B20"/>
    <w:rsid w:val="00F26EF8"/>
    <w:rsid w:val="00F275E2"/>
    <w:rsid w:val="00F455EB"/>
    <w:rsid w:val="00F458A7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A6572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1721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Maiorano Elisabetta</cp:lastModifiedBy>
  <cp:revision>5</cp:revision>
  <cp:lastPrinted>2020-11-18T14:51:00Z</cp:lastPrinted>
  <dcterms:created xsi:type="dcterms:W3CDTF">2024-10-16T12:24:00Z</dcterms:created>
  <dcterms:modified xsi:type="dcterms:W3CDTF">2024-10-17T12:35:00Z</dcterms:modified>
</cp:coreProperties>
</file>